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16D8" w:rsidRPr="00A24A35" w:rsidRDefault="000216D8" w:rsidP="00021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A35">
        <w:rPr>
          <w:rFonts w:ascii="Times New Roman" w:hAnsi="Times New Roman"/>
          <w:sz w:val="24"/>
          <w:szCs w:val="24"/>
        </w:rPr>
        <w:t>ГОСУДАРСТВЕННОЕ БЮДЖЕТНОЕ ОБ</w:t>
      </w:r>
      <w:r>
        <w:rPr>
          <w:rFonts w:ascii="Times New Roman" w:hAnsi="Times New Roman"/>
          <w:sz w:val="24"/>
          <w:szCs w:val="24"/>
        </w:rPr>
        <w:t>ЩЕОБ</w:t>
      </w:r>
      <w:r w:rsidRPr="00A24A35">
        <w:rPr>
          <w:rFonts w:ascii="Times New Roman" w:hAnsi="Times New Roman"/>
          <w:sz w:val="24"/>
          <w:szCs w:val="24"/>
        </w:rPr>
        <w:t>РАЗОВАТЕЛЬНОЕ УЧРЕЖДЕНИЕ</w:t>
      </w: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ЛИЦЕЙ </w:t>
      </w:r>
      <w:r w:rsidRPr="00A24A35">
        <w:rPr>
          <w:rFonts w:ascii="Times New Roman" w:hAnsi="Times New Roman"/>
          <w:sz w:val="24"/>
          <w:szCs w:val="24"/>
        </w:rPr>
        <w:t>№86 ИМЕНИ М.Е. КАТУКОВА</w:t>
      </w:r>
      <w:r w:rsidRPr="000C4F04">
        <w:rPr>
          <w:rFonts w:ascii="Times New Roman" w:hAnsi="Times New Roman"/>
          <w:sz w:val="24"/>
          <w:szCs w:val="24"/>
        </w:rPr>
        <w:t xml:space="preserve"> </w:t>
      </w:r>
      <w:r w:rsidRPr="00A24A35">
        <w:rPr>
          <w:rFonts w:ascii="Times New Roman" w:hAnsi="Times New Roman"/>
          <w:sz w:val="24"/>
          <w:szCs w:val="24"/>
        </w:rPr>
        <w:t xml:space="preserve">ГОРОДА МОСКВЫ </w:t>
      </w:r>
    </w:p>
    <w:p w:rsidR="000216D8" w:rsidRPr="00A24A35" w:rsidRDefault="000216D8" w:rsidP="00021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16D8" w:rsidRPr="00A24A35" w:rsidRDefault="000216D8" w:rsidP="000216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A35">
        <w:rPr>
          <w:rFonts w:ascii="Times New Roman" w:hAnsi="Times New Roman"/>
          <w:sz w:val="28"/>
          <w:szCs w:val="28"/>
        </w:rPr>
        <w:t>Утверждаю</w:t>
      </w:r>
    </w:p>
    <w:p w:rsidR="000216D8" w:rsidRPr="00A24A35" w:rsidRDefault="000216D8" w:rsidP="000216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A35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лицея</w:t>
      </w:r>
    </w:p>
    <w:p w:rsidR="000216D8" w:rsidRPr="00A24A35" w:rsidRDefault="000216D8" w:rsidP="000216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A35">
        <w:rPr>
          <w:rFonts w:ascii="Times New Roman" w:hAnsi="Times New Roman"/>
          <w:sz w:val="28"/>
          <w:szCs w:val="28"/>
        </w:rPr>
        <w:t>________/</w:t>
      </w:r>
      <w:r>
        <w:rPr>
          <w:rFonts w:ascii="Times New Roman" w:hAnsi="Times New Roman"/>
          <w:sz w:val="28"/>
          <w:szCs w:val="28"/>
          <w:u w:val="single"/>
        </w:rPr>
        <w:t>Самсонов П.И./</w:t>
      </w:r>
    </w:p>
    <w:p w:rsidR="000216D8" w:rsidRDefault="000216D8" w:rsidP="000216D8">
      <w:pPr>
        <w:spacing w:after="0" w:line="240" w:lineRule="auto"/>
        <w:rPr>
          <w:rFonts w:ascii="Times New Roman" w:hAnsi="Times New Roman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24A35">
        <w:rPr>
          <w:rFonts w:ascii="Times New Roman" w:hAnsi="Times New Roman"/>
          <w:sz w:val="40"/>
          <w:szCs w:val="40"/>
        </w:rPr>
        <w:t xml:space="preserve">ПРОГРАММА </w:t>
      </w:r>
    </w:p>
    <w:p w:rsidR="000216D8" w:rsidRPr="00A24A35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24A35">
        <w:rPr>
          <w:rFonts w:ascii="Times New Roman" w:hAnsi="Times New Roman"/>
          <w:sz w:val="40"/>
          <w:szCs w:val="40"/>
        </w:rPr>
        <w:t>ДОПОЛНИТЕЛЬНОГО ОБРАЗОВАНИЯ</w:t>
      </w: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«БАСКЕТБОЛ»</w:t>
      </w: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216D8" w:rsidRPr="00A24A35" w:rsidRDefault="000216D8" w:rsidP="000216D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A24A35">
        <w:rPr>
          <w:rFonts w:ascii="Times New Roman" w:hAnsi="Times New Roman"/>
          <w:sz w:val="36"/>
          <w:szCs w:val="36"/>
        </w:rPr>
        <w:t xml:space="preserve">Преподаватель </w:t>
      </w:r>
      <w:proofErr w:type="gramStart"/>
      <w:r w:rsidRPr="00A24A35">
        <w:rPr>
          <w:rFonts w:ascii="Times New Roman" w:hAnsi="Times New Roman"/>
          <w:sz w:val="36"/>
          <w:szCs w:val="36"/>
        </w:rPr>
        <w:t>ДО</w:t>
      </w:r>
      <w:proofErr w:type="gramEnd"/>
      <w:r w:rsidRPr="00A24A35"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>Барышников М.Ю.</w:t>
      </w: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216D8" w:rsidRDefault="000216D8" w:rsidP="000216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2016-2017</w:t>
      </w:r>
      <w:r w:rsidRPr="00A24A35">
        <w:rPr>
          <w:rFonts w:ascii="Times New Roman" w:hAnsi="Times New Roman"/>
          <w:sz w:val="36"/>
          <w:szCs w:val="36"/>
        </w:rPr>
        <w:t xml:space="preserve"> учебный год</w:t>
      </w:r>
    </w:p>
    <w:p w:rsidR="000216D8" w:rsidRDefault="000216D8" w:rsidP="000216D8"/>
    <w:p w:rsidR="00304514" w:rsidRPr="00C56ED9" w:rsidRDefault="00304514" w:rsidP="00C56E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ED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5542" w:rsidRDefault="00B76F7E" w:rsidP="00C56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65">
        <w:rPr>
          <w:rFonts w:ascii="Times New Roman" w:hAnsi="Times New Roman" w:cs="Times New Roman"/>
          <w:sz w:val="28"/>
          <w:szCs w:val="28"/>
        </w:rPr>
        <w:t>Программа составлена на основании нормативно-правовых документов, регулирующих деятельность учреждений всех типов  реализующих, программы дополнительного образования. В ней отражены основные принципы спортивной подготовки юных спортсменов, результаты научных исследований, опыт работы спортивных школ по баскетболу. Программа курса рассчитана  н</w:t>
      </w:r>
      <w:r w:rsidR="00C56ED9">
        <w:rPr>
          <w:rFonts w:ascii="Times New Roman" w:hAnsi="Times New Roman" w:cs="Times New Roman"/>
          <w:sz w:val="28"/>
          <w:szCs w:val="28"/>
        </w:rPr>
        <w:t>а 78</w:t>
      </w:r>
      <w:r w:rsidRPr="00935265">
        <w:rPr>
          <w:rFonts w:ascii="Times New Roman" w:hAnsi="Times New Roman" w:cs="Times New Roman"/>
          <w:sz w:val="28"/>
          <w:szCs w:val="28"/>
        </w:rPr>
        <w:t xml:space="preserve"> часов (2 часа в неделю). </w:t>
      </w:r>
    </w:p>
    <w:p w:rsidR="00475542" w:rsidRDefault="00B76F7E" w:rsidP="00C56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42">
        <w:rPr>
          <w:rFonts w:ascii="Times New Roman" w:hAnsi="Times New Roman" w:cs="Times New Roman"/>
          <w:sz w:val="28"/>
          <w:szCs w:val="28"/>
          <w:u w:val="single"/>
        </w:rPr>
        <w:t>Принцип системности</w:t>
      </w:r>
      <w:r w:rsidRPr="00935265">
        <w:rPr>
          <w:rFonts w:ascii="Times New Roman" w:hAnsi="Times New Roman" w:cs="Times New Roman"/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 </w:t>
      </w:r>
    </w:p>
    <w:p w:rsidR="00475542" w:rsidRDefault="00B76F7E" w:rsidP="00C56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42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="00475542" w:rsidRPr="00475542">
        <w:rPr>
          <w:rFonts w:ascii="Times New Roman" w:hAnsi="Times New Roman" w:cs="Times New Roman"/>
          <w:sz w:val="28"/>
          <w:szCs w:val="28"/>
          <w:u w:val="single"/>
        </w:rPr>
        <w:t>преемственности</w:t>
      </w:r>
      <w:r w:rsidRPr="00935265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изложения программного материала по этапам многолетней подготовки в годичных циклах, соответствия его требованиям высшего спортивного мастерства. Обеспечение в многолетнем тренировочном  процессе преемственность задач, средств и методов подготовки, объемов тренировочных и соревновательных нагрузок, рост показателей физической и, технико-тактической  и интегральной подготовленности.</w:t>
      </w:r>
    </w:p>
    <w:p w:rsidR="00B76F7E" w:rsidRPr="00935265" w:rsidRDefault="00B76F7E" w:rsidP="00C56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65">
        <w:rPr>
          <w:rFonts w:ascii="Times New Roman" w:hAnsi="Times New Roman" w:cs="Times New Roman"/>
          <w:sz w:val="28"/>
          <w:szCs w:val="28"/>
        </w:rPr>
        <w:t xml:space="preserve"> </w:t>
      </w:r>
      <w:r w:rsidRPr="00475542">
        <w:rPr>
          <w:rFonts w:ascii="Times New Roman" w:hAnsi="Times New Roman" w:cs="Times New Roman"/>
          <w:sz w:val="28"/>
          <w:szCs w:val="28"/>
          <w:u w:val="single"/>
        </w:rPr>
        <w:t>Принцип вариативности</w:t>
      </w:r>
      <w:r w:rsidRPr="00935265">
        <w:rPr>
          <w:rFonts w:ascii="Times New Roman" w:hAnsi="Times New Roman" w:cs="Times New Roman"/>
          <w:sz w:val="28"/>
          <w:szCs w:val="28"/>
        </w:rPr>
        <w:t xml:space="preserve"> предусматривает в зависимости от этапа подготовки, индивидуальных особенностей юного баскетболиста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 На основании нормативно-правовых документов, определяющих функционирование спортивной секции, основополагающих принципов построения спортивной тренировки и анализа типовых программ для </w:t>
      </w:r>
      <w:r w:rsidRPr="00935265">
        <w:rPr>
          <w:rFonts w:ascii="Times New Roman" w:hAnsi="Times New Roman" w:cs="Times New Roman"/>
          <w:sz w:val="28"/>
          <w:szCs w:val="28"/>
        </w:rPr>
        <w:lastRenderedPageBreak/>
        <w:t>ДЮСШОР и ДЮСШ по баскетболу определены следую</w:t>
      </w:r>
      <w:r w:rsidR="00475542">
        <w:rPr>
          <w:rFonts w:ascii="Times New Roman" w:hAnsi="Times New Roman" w:cs="Times New Roman"/>
          <w:sz w:val="28"/>
          <w:szCs w:val="28"/>
        </w:rPr>
        <w:t>щие разделы учебной программы: пояснительная</w:t>
      </w:r>
      <w:r w:rsidRPr="00935265">
        <w:rPr>
          <w:rFonts w:ascii="Times New Roman" w:hAnsi="Times New Roman" w:cs="Times New Roman"/>
          <w:sz w:val="28"/>
          <w:szCs w:val="28"/>
        </w:rPr>
        <w:t xml:space="preserve"> записка; </w:t>
      </w:r>
      <w:r w:rsidR="007B53A8">
        <w:rPr>
          <w:rFonts w:ascii="Times New Roman" w:hAnsi="Times New Roman" w:cs="Times New Roman"/>
          <w:sz w:val="28"/>
          <w:szCs w:val="28"/>
        </w:rPr>
        <w:t xml:space="preserve">нормативная часть, </w:t>
      </w:r>
      <w:r w:rsidRPr="00935265">
        <w:rPr>
          <w:rFonts w:ascii="Times New Roman" w:hAnsi="Times New Roman" w:cs="Times New Roman"/>
          <w:sz w:val="28"/>
          <w:szCs w:val="28"/>
        </w:rPr>
        <w:t>организационно-метод</w:t>
      </w:r>
      <w:r w:rsidR="00475542">
        <w:rPr>
          <w:rFonts w:ascii="Times New Roman" w:hAnsi="Times New Roman" w:cs="Times New Roman"/>
          <w:sz w:val="28"/>
          <w:szCs w:val="28"/>
        </w:rPr>
        <w:t xml:space="preserve">ические указания; </w:t>
      </w:r>
      <w:r w:rsidR="007B53A8">
        <w:rPr>
          <w:rFonts w:ascii="Times New Roman" w:hAnsi="Times New Roman" w:cs="Times New Roman"/>
          <w:sz w:val="28"/>
          <w:szCs w:val="28"/>
        </w:rPr>
        <w:t>годовое планирование, календарно-тематическое планирование</w:t>
      </w:r>
      <w:r w:rsidR="00475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542" w:rsidRDefault="00B76F7E" w:rsidP="004755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65">
        <w:rPr>
          <w:rFonts w:ascii="Times New Roman" w:hAnsi="Times New Roman" w:cs="Times New Roman"/>
          <w:sz w:val="28"/>
          <w:szCs w:val="28"/>
        </w:rPr>
        <w:t xml:space="preserve">Главная задача данной программы заключается в подготовке физически крепких, с гармоничным развитием физических и духовных сил юных спортсменов, в воспитании социально активной личности, готовой к трудовой деятельности в будущем.  Основным условием выполнения данной задачи является целенаправленная подготовка, которая предусматривает: </w:t>
      </w:r>
    </w:p>
    <w:p w:rsidR="00475542" w:rsidRDefault="00B76F7E" w:rsidP="0047554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42">
        <w:rPr>
          <w:rFonts w:ascii="Times New Roman" w:hAnsi="Times New Roman" w:cs="Times New Roman"/>
          <w:sz w:val="28"/>
          <w:szCs w:val="28"/>
        </w:rPr>
        <w:t xml:space="preserve">содействие гармоничному физическому развитию, всесторонней физической подготовленности и укреплению здоровья </w:t>
      </w:r>
      <w:proofErr w:type="gramStart"/>
      <w:r w:rsidRPr="0047554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75542">
        <w:rPr>
          <w:rFonts w:ascii="Times New Roman" w:hAnsi="Times New Roman" w:cs="Times New Roman"/>
          <w:sz w:val="28"/>
          <w:szCs w:val="28"/>
        </w:rPr>
        <w:t>;</w:t>
      </w:r>
    </w:p>
    <w:p w:rsidR="00475542" w:rsidRDefault="00B76F7E" w:rsidP="0047554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42">
        <w:rPr>
          <w:rFonts w:ascii="Times New Roman" w:hAnsi="Times New Roman" w:cs="Times New Roman"/>
          <w:sz w:val="28"/>
          <w:szCs w:val="28"/>
        </w:rPr>
        <w:t>подготовку баскетболистов высокой квалификации, резерва сборных юношеских и молодежных команд;</w:t>
      </w:r>
    </w:p>
    <w:p w:rsidR="00475542" w:rsidRDefault="00B76F7E" w:rsidP="0047554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42">
        <w:rPr>
          <w:rFonts w:ascii="Times New Roman" w:hAnsi="Times New Roman" w:cs="Times New Roman"/>
          <w:sz w:val="28"/>
          <w:szCs w:val="28"/>
        </w:rPr>
        <w:t xml:space="preserve">повышения тренировочных и соревновательных нагрузок, уровня навыками игры  в процессе многолетней подготовки до требований в группах спортивного совершенствования; </w:t>
      </w:r>
    </w:p>
    <w:p w:rsidR="00475542" w:rsidRDefault="00B76F7E" w:rsidP="0047554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42">
        <w:rPr>
          <w:rFonts w:ascii="Times New Roman" w:hAnsi="Times New Roman" w:cs="Times New Roman"/>
          <w:sz w:val="28"/>
          <w:szCs w:val="28"/>
        </w:rPr>
        <w:t xml:space="preserve">подготовку волевых, смелых, дисциплинированных, обладающих высоким уровнем командной игровой подготовки и бойцовскими качествами спортсменов; </w:t>
      </w:r>
    </w:p>
    <w:p w:rsidR="007B53A8" w:rsidRDefault="00B76F7E" w:rsidP="004755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42">
        <w:rPr>
          <w:rFonts w:ascii="Times New Roman" w:hAnsi="Times New Roman" w:cs="Times New Roman"/>
          <w:sz w:val="28"/>
          <w:szCs w:val="28"/>
        </w:rPr>
        <w:t xml:space="preserve">Основной принцип работы в группах дополнительного образования универсальность, а основным показателем секционной работы дополнительного образования по баскетболу является   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подготовке. </w:t>
      </w:r>
    </w:p>
    <w:p w:rsidR="000F4830" w:rsidRDefault="000F4830" w:rsidP="004755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830" w:rsidRDefault="000F4830" w:rsidP="004755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F7E" w:rsidRPr="007B53A8" w:rsidRDefault="00B76F7E" w:rsidP="007B53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1.Нормативная часть учебной программы.  </w:t>
      </w:r>
    </w:p>
    <w:p w:rsidR="00B76F7E" w:rsidRPr="00935265" w:rsidRDefault="00B76F7E" w:rsidP="0093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265">
        <w:rPr>
          <w:rFonts w:ascii="Times New Roman" w:hAnsi="Times New Roman" w:cs="Times New Roman"/>
          <w:sz w:val="28"/>
          <w:szCs w:val="28"/>
        </w:rPr>
        <w:t>Нормативная часть программы содержит основные требования  по возрасту, численному составу занимающихся, объему учебно-тренировочной работе, по технико-тактической, физической и спортивной подготовке, разработана на основе директивных документов регламентирующих работу учреждений образования всех типов, в соответствии с Законом Российской Федерации «Об образовании», Федеральным законом от 29.04 1999г. №80-ФЗ «О физической культуре и спорте в Российской Федерации» и Типовым положением об образовательном учреждении дополнительного</w:t>
      </w:r>
      <w:proofErr w:type="gramEnd"/>
      <w:r w:rsidRPr="00935265">
        <w:rPr>
          <w:rFonts w:ascii="Times New Roman" w:hAnsi="Times New Roman" w:cs="Times New Roman"/>
          <w:sz w:val="28"/>
          <w:szCs w:val="28"/>
        </w:rPr>
        <w:t xml:space="preserve"> образования детей постановлением Правительства РФ от 07.03.1995г. №233,нормативными документами Государственного комитета по физической культуре и спорту. Программа по баскетболу для занятий в рамках дополнительного обра</w:t>
      </w:r>
      <w:r w:rsidR="00475542">
        <w:rPr>
          <w:rFonts w:ascii="Times New Roman" w:hAnsi="Times New Roman" w:cs="Times New Roman"/>
          <w:sz w:val="28"/>
          <w:szCs w:val="28"/>
        </w:rPr>
        <w:t>зов</w:t>
      </w:r>
      <w:r w:rsidR="00AC28ED">
        <w:rPr>
          <w:rFonts w:ascii="Times New Roman" w:hAnsi="Times New Roman" w:cs="Times New Roman"/>
          <w:sz w:val="28"/>
          <w:szCs w:val="28"/>
        </w:rPr>
        <w:t>ания рассчитана на учащихся 10-15 лет на 5</w:t>
      </w:r>
      <w:r w:rsidRPr="00935265">
        <w:rPr>
          <w:rFonts w:ascii="Times New Roman" w:hAnsi="Times New Roman" w:cs="Times New Roman"/>
          <w:sz w:val="28"/>
          <w:szCs w:val="28"/>
        </w:rPr>
        <w:t xml:space="preserve"> лет обучения. В группы зачисляются  дети по собственному  желанию, заявлению родителей или законных представителей (опекунов, приемных родителей и т.п.) не имеющих медицинских противопоказаний для занятий баскетболом.  </w:t>
      </w:r>
    </w:p>
    <w:p w:rsidR="00B85C96" w:rsidRDefault="00B76F7E" w:rsidP="0093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65">
        <w:rPr>
          <w:rFonts w:ascii="Times New Roman" w:hAnsi="Times New Roman" w:cs="Times New Roman"/>
          <w:sz w:val="28"/>
          <w:szCs w:val="28"/>
        </w:rPr>
        <w:t xml:space="preserve"> Группы формируются с учетом  возраста и физической подготовленности и физического развития. Для каждой группы устанавливается наполняемость и режим учебно-тренировочной и соревновательной работы. Весь учебно</w:t>
      </w:r>
      <w:r w:rsidR="00B85C96">
        <w:rPr>
          <w:rFonts w:ascii="Times New Roman" w:hAnsi="Times New Roman" w:cs="Times New Roman"/>
          <w:sz w:val="28"/>
          <w:szCs w:val="28"/>
        </w:rPr>
        <w:t>-</w:t>
      </w:r>
      <w:r w:rsidRPr="00935265">
        <w:rPr>
          <w:rFonts w:ascii="Times New Roman" w:hAnsi="Times New Roman" w:cs="Times New Roman"/>
          <w:sz w:val="28"/>
          <w:szCs w:val="28"/>
        </w:rPr>
        <w:t>тренировочный проце</w:t>
      </w:r>
      <w:proofErr w:type="gramStart"/>
      <w:r w:rsidRPr="0093526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935265">
        <w:rPr>
          <w:rFonts w:ascii="Times New Roman" w:hAnsi="Times New Roman" w:cs="Times New Roman"/>
          <w:sz w:val="28"/>
          <w:szCs w:val="28"/>
        </w:rPr>
        <w:t>оится по следующим направлениям:</w:t>
      </w:r>
    </w:p>
    <w:p w:rsidR="00B85C96" w:rsidRDefault="00B76F7E" w:rsidP="00B85C9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96">
        <w:rPr>
          <w:rFonts w:ascii="Times New Roman" w:hAnsi="Times New Roman" w:cs="Times New Roman"/>
          <w:sz w:val="28"/>
          <w:szCs w:val="28"/>
        </w:rPr>
        <w:t>отбор детей с высоким уровнем развития способностей к баскетболу и прохождения их через всю систему многолетней подготовки;</w:t>
      </w:r>
    </w:p>
    <w:p w:rsidR="00B85C96" w:rsidRDefault="00B76F7E" w:rsidP="00B85C9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96">
        <w:rPr>
          <w:rFonts w:ascii="Times New Roman" w:hAnsi="Times New Roman" w:cs="Times New Roman"/>
          <w:sz w:val="28"/>
          <w:szCs w:val="28"/>
        </w:rPr>
        <w:t>усиление работы по овладению индивидуальной техникой и совершенствованию навыков выполнения технических приемов и их способов;</w:t>
      </w:r>
    </w:p>
    <w:p w:rsidR="00B85C96" w:rsidRDefault="00B76F7E" w:rsidP="00B85C9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96">
        <w:rPr>
          <w:rFonts w:ascii="Times New Roman" w:hAnsi="Times New Roman" w:cs="Times New Roman"/>
          <w:sz w:val="28"/>
          <w:szCs w:val="28"/>
        </w:rPr>
        <w:t xml:space="preserve">повышение роли и объема тактической подготовки как важнейшего условия реализации индивидуального технического потенциала </w:t>
      </w:r>
      <w:r w:rsidRPr="00B85C96">
        <w:rPr>
          <w:rFonts w:ascii="Times New Roman" w:hAnsi="Times New Roman" w:cs="Times New Roman"/>
          <w:sz w:val="28"/>
          <w:szCs w:val="28"/>
        </w:rPr>
        <w:lastRenderedPageBreak/>
        <w:t>отдельных баскетболистов и команды в целом в рамках избранных систем игры и групповой тактики и нападении и защите;</w:t>
      </w:r>
    </w:p>
    <w:p w:rsidR="00AC28ED" w:rsidRDefault="00B76F7E" w:rsidP="00AC28E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96">
        <w:rPr>
          <w:rFonts w:ascii="Times New Roman" w:hAnsi="Times New Roman" w:cs="Times New Roman"/>
          <w:sz w:val="28"/>
          <w:szCs w:val="28"/>
        </w:rPr>
        <w:t>осуществление на высоком уровне интегральной подготовки посредством орган</w:t>
      </w:r>
      <w:r w:rsidR="00AC28ED">
        <w:rPr>
          <w:rFonts w:ascii="Times New Roman" w:hAnsi="Times New Roman" w:cs="Times New Roman"/>
          <w:sz w:val="28"/>
          <w:szCs w:val="28"/>
        </w:rPr>
        <w:t>ической взаимосвязи технической</w:t>
      </w:r>
      <w:r w:rsidRPr="00B85C96">
        <w:rPr>
          <w:rFonts w:ascii="Times New Roman" w:hAnsi="Times New Roman" w:cs="Times New Roman"/>
          <w:sz w:val="28"/>
          <w:szCs w:val="28"/>
        </w:rPr>
        <w:t xml:space="preserve">, тактической  и физической подготовки, умелого построения учебных и контрольных игр с целью решения основных задач по видам подготовки.   </w:t>
      </w:r>
    </w:p>
    <w:p w:rsidR="00B76F7E" w:rsidRPr="00AC28ED" w:rsidRDefault="00AC28ED" w:rsidP="00AC2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F7E" w:rsidRPr="00AC28ED">
        <w:rPr>
          <w:rFonts w:ascii="Times New Roman" w:hAnsi="Times New Roman" w:cs="Times New Roman"/>
          <w:sz w:val="28"/>
          <w:szCs w:val="28"/>
        </w:rPr>
        <w:t xml:space="preserve">Программа составлена для </w:t>
      </w:r>
      <w:r w:rsidR="00692B33">
        <w:rPr>
          <w:rFonts w:ascii="Times New Roman" w:hAnsi="Times New Roman" w:cs="Times New Roman"/>
          <w:sz w:val="28"/>
          <w:szCs w:val="28"/>
        </w:rPr>
        <w:t>первого</w:t>
      </w:r>
      <w:r w:rsidR="00B76F7E" w:rsidRPr="00AC28ED">
        <w:rPr>
          <w:rFonts w:ascii="Times New Roman" w:hAnsi="Times New Roman" w:cs="Times New Roman"/>
          <w:sz w:val="28"/>
          <w:szCs w:val="28"/>
        </w:rPr>
        <w:t xml:space="preserve"> года обучения. Учебный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 как в отдельном годичном цикле, так и на протяжении многолетнего процесса подготовки.  </w:t>
      </w:r>
    </w:p>
    <w:p w:rsidR="00B76F7E" w:rsidRPr="007B53A8" w:rsidRDefault="00B76F7E" w:rsidP="009352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A8">
        <w:rPr>
          <w:rFonts w:ascii="Times New Roman" w:hAnsi="Times New Roman" w:cs="Times New Roman"/>
          <w:b/>
          <w:sz w:val="28"/>
          <w:szCs w:val="28"/>
        </w:rPr>
        <w:t xml:space="preserve">2.Организационно-методические указания.  </w:t>
      </w:r>
    </w:p>
    <w:p w:rsidR="00B76F7E" w:rsidRPr="00935265" w:rsidRDefault="00B76F7E" w:rsidP="0093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65">
        <w:rPr>
          <w:rFonts w:ascii="Times New Roman" w:hAnsi="Times New Roman" w:cs="Times New Roman"/>
          <w:sz w:val="28"/>
          <w:szCs w:val="28"/>
        </w:rPr>
        <w:t>Подготовка баскетболистов проводится в несколько этапов, которые имеют свои специфические особенности. Главным отличием являются возраст и уровень физического развития  детей, зачисляемых в ту или иную группу подготовки. Дети проходят тестирование по показателям физического развития и общей физической подготовленности. После каждого года обучения учащиеся сдают предус</w:t>
      </w:r>
      <w:r w:rsidR="007B53A8">
        <w:rPr>
          <w:rFonts w:ascii="Times New Roman" w:hAnsi="Times New Roman" w:cs="Times New Roman"/>
          <w:sz w:val="28"/>
          <w:szCs w:val="28"/>
        </w:rPr>
        <w:t xml:space="preserve">мотренные программой нормативы. </w:t>
      </w:r>
      <w:r w:rsidRPr="00935265">
        <w:rPr>
          <w:rFonts w:ascii="Times New Roman" w:hAnsi="Times New Roman" w:cs="Times New Roman"/>
          <w:sz w:val="28"/>
          <w:szCs w:val="28"/>
        </w:rPr>
        <w:t>Эта форма работы охватывает всех желающих, основная задача –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выбранного вида спорта в процессе регулярных физкультурно</w:t>
      </w:r>
      <w:r w:rsidR="007B53A8">
        <w:rPr>
          <w:rFonts w:ascii="Times New Roman" w:hAnsi="Times New Roman" w:cs="Times New Roman"/>
          <w:sz w:val="28"/>
          <w:szCs w:val="28"/>
        </w:rPr>
        <w:t>-</w:t>
      </w:r>
      <w:r w:rsidRPr="00935265">
        <w:rPr>
          <w:rFonts w:ascii="Times New Roman" w:hAnsi="Times New Roman" w:cs="Times New Roman"/>
          <w:sz w:val="28"/>
          <w:szCs w:val="28"/>
        </w:rPr>
        <w:t>оздоровительных и спортивных занятий. Этап начальной подготовки (НП). На этапе начальной подготовки осуществляется физкультурно-оздоровительная  и воспитательная работа, направленная на разностороннюю физическую подготовку и овладение основами техники баскетбола, выполнение контрольных нормативов для зачисления на учебно-тренировочный этап. Учебно-тренировочный этап (УТ). Этап формируется на конкурсной основе из здоровых и практически здоровых у</w:t>
      </w:r>
      <w:r w:rsidR="007B53A8">
        <w:rPr>
          <w:rFonts w:ascii="Times New Roman" w:hAnsi="Times New Roman" w:cs="Times New Roman"/>
          <w:sz w:val="28"/>
          <w:szCs w:val="28"/>
        </w:rPr>
        <w:t xml:space="preserve">чащихся, </w:t>
      </w:r>
      <w:r w:rsidR="007B53A8">
        <w:rPr>
          <w:rFonts w:ascii="Times New Roman" w:hAnsi="Times New Roman" w:cs="Times New Roman"/>
          <w:sz w:val="28"/>
          <w:szCs w:val="28"/>
        </w:rPr>
        <w:lastRenderedPageBreak/>
        <w:t xml:space="preserve">прошедших необходимую </w:t>
      </w:r>
      <w:r w:rsidRPr="00935265">
        <w:rPr>
          <w:rFonts w:ascii="Times New Roman" w:hAnsi="Times New Roman" w:cs="Times New Roman"/>
          <w:sz w:val="28"/>
          <w:szCs w:val="28"/>
        </w:rPr>
        <w:t xml:space="preserve">подготовку не менее одного года и выполнивших приемные нормативы по общей физической и специальной подготовке. Перевод по годам обучения осуществляется при условии выполнения учащимися контрольно-переводных нормативов по ОФП и СФП.  </w:t>
      </w:r>
    </w:p>
    <w:p w:rsidR="00C845A8" w:rsidRPr="007B53A8" w:rsidRDefault="007B53A8" w:rsidP="009352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45A8" w:rsidRPr="007B53A8">
        <w:rPr>
          <w:rFonts w:ascii="Times New Roman" w:hAnsi="Times New Roman" w:cs="Times New Roman"/>
          <w:b/>
          <w:sz w:val="28"/>
          <w:szCs w:val="28"/>
        </w:rPr>
        <w:t xml:space="preserve">Годовое планирование.  </w:t>
      </w:r>
    </w:p>
    <w:p w:rsidR="000F4830" w:rsidRDefault="00C845A8" w:rsidP="0093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65">
        <w:rPr>
          <w:rFonts w:ascii="Times New Roman" w:hAnsi="Times New Roman" w:cs="Times New Roman"/>
          <w:sz w:val="28"/>
          <w:szCs w:val="28"/>
        </w:rPr>
        <w:t xml:space="preserve">   Текущее планирование составная часть перспективного планирования отличается детализацией тренировочных средств и контрольных заданий, точным расчетом времени по видам подготовки. Достигнуть высокого уровня развития двигательных возможностей человека можно в результате занятий физическими упражнениями в течени</w:t>
      </w:r>
      <w:proofErr w:type="gramStart"/>
      <w:r w:rsidRPr="009352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5265">
        <w:rPr>
          <w:rFonts w:ascii="Times New Roman" w:hAnsi="Times New Roman" w:cs="Times New Roman"/>
          <w:sz w:val="28"/>
          <w:szCs w:val="28"/>
        </w:rPr>
        <w:t xml:space="preserve"> какого-то периода времени, но невозможно сохранить этот уровень на протяжении всего года. Соответственно фазам становления спортивной формы годичный цикл тренировки подразделяют на три периода: подготовительный, соревновательный и переходный. Средства подготовки и тренировочные нагрузки распределяются строго по периодам и этапам подготовки. </w:t>
      </w:r>
      <w:r w:rsidRPr="000F4830">
        <w:rPr>
          <w:rFonts w:ascii="Times New Roman" w:hAnsi="Times New Roman" w:cs="Times New Roman"/>
          <w:sz w:val="28"/>
          <w:szCs w:val="28"/>
          <w:u w:val="single"/>
        </w:rPr>
        <w:t>ПОДГОТОВИТЕЛЬНЫЙ ПЕРИОД</w:t>
      </w:r>
      <w:r w:rsidRPr="00935265">
        <w:rPr>
          <w:rFonts w:ascii="Times New Roman" w:hAnsi="Times New Roman" w:cs="Times New Roman"/>
          <w:sz w:val="28"/>
          <w:szCs w:val="28"/>
        </w:rPr>
        <w:t xml:space="preserve">. С этого периода начинается каждый новый цикл подготовки. Завершается подготовительный период к началу календарных соревнований. В этот период надо подвести </w:t>
      </w:r>
      <w:proofErr w:type="gramStart"/>
      <w:r w:rsidRPr="0093526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35265">
        <w:rPr>
          <w:rFonts w:ascii="Times New Roman" w:hAnsi="Times New Roman" w:cs="Times New Roman"/>
          <w:sz w:val="28"/>
          <w:szCs w:val="28"/>
        </w:rPr>
        <w:t xml:space="preserve"> к соревнованиям на оптимальном уровне. Подготовительный период делится на три взаимосвязанных этапа: общей подготовки, специальной подготовки и предсоревновательной подготовки. Каждый из этих этапов имеет свои задачи, решение которых способствует планомерному и постепенному нарастанию уровня тренированности. Задачи этапа общей подготовки: </w:t>
      </w:r>
    </w:p>
    <w:p w:rsidR="000F4830" w:rsidRDefault="00C845A8" w:rsidP="000F483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>создание предпосылок общей тренировочной выносливости для дальнейшего увеличения объема и интенсивности нагрузок;</w:t>
      </w:r>
    </w:p>
    <w:p w:rsidR="000F4830" w:rsidRDefault="000F4830" w:rsidP="000F483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A8" w:rsidRPr="000F4830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</w:t>
      </w:r>
    </w:p>
    <w:p w:rsidR="000F4830" w:rsidRDefault="000F4830" w:rsidP="000F483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A8" w:rsidRPr="000F4830">
        <w:rPr>
          <w:rFonts w:ascii="Times New Roman" w:hAnsi="Times New Roman" w:cs="Times New Roman"/>
          <w:sz w:val="28"/>
          <w:szCs w:val="28"/>
        </w:rPr>
        <w:t xml:space="preserve">расширение функциональных возможностей сердечно-сосудистой и </w:t>
      </w:r>
      <w:proofErr w:type="gramStart"/>
      <w:r w:rsidR="00C845A8" w:rsidRPr="000F4830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="00C845A8" w:rsidRPr="000F4830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0F4830" w:rsidRDefault="000F4830" w:rsidP="000F483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A8" w:rsidRPr="000F4830">
        <w:rPr>
          <w:rFonts w:ascii="Times New Roman" w:hAnsi="Times New Roman" w:cs="Times New Roman"/>
          <w:sz w:val="28"/>
          <w:szCs w:val="28"/>
        </w:rPr>
        <w:t>воспитание физических качеств;</w:t>
      </w:r>
    </w:p>
    <w:p w:rsidR="000F4830" w:rsidRDefault="000F4830" w:rsidP="000F483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45A8" w:rsidRPr="000F4830">
        <w:rPr>
          <w:rFonts w:ascii="Times New Roman" w:hAnsi="Times New Roman" w:cs="Times New Roman"/>
          <w:sz w:val="28"/>
          <w:szCs w:val="28"/>
        </w:rPr>
        <w:t xml:space="preserve">восстановление основных двигательных навыков и овладение новыми приемами техники;  </w:t>
      </w:r>
    </w:p>
    <w:p w:rsidR="00C845A8" w:rsidRPr="00935265" w:rsidRDefault="00C845A8" w:rsidP="0093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 xml:space="preserve">На этапе общей подготовки используют </w:t>
      </w:r>
      <w:r w:rsidR="000F4830" w:rsidRPr="000F4830">
        <w:rPr>
          <w:rFonts w:ascii="Times New Roman" w:hAnsi="Times New Roman" w:cs="Times New Roman"/>
          <w:sz w:val="28"/>
          <w:szCs w:val="28"/>
        </w:rPr>
        <w:t xml:space="preserve">обще </w:t>
      </w:r>
      <w:proofErr w:type="gramStart"/>
      <w:r w:rsidR="000F4830" w:rsidRPr="000F4830">
        <w:rPr>
          <w:rFonts w:ascii="Times New Roman" w:hAnsi="Times New Roman" w:cs="Times New Roman"/>
          <w:sz w:val="28"/>
          <w:szCs w:val="28"/>
        </w:rPr>
        <w:t>подготовительных</w:t>
      </w:r>
      <w:proofErr w:type="gramEnd"/>
      <w:r w:rsidRPr="000F4830">
        <w:rPr>
          <w:rFonts w:ascii="Times New Roman" w:hAnsi="Times New Roman" w:cs="Times New Roman"/>
          <w:sz w:val="28"/>
          <w:szCs w:val="28"/>
        </w:rPr>
        <w:t xml:space="preserve"> упражнения и частично-специально-подготовительные. Задачи </w:t>
      </w:r>
      <w:r w:rsidR="000F4830">
        <w:rPr>
          <w:rFonts w:ascii="Times New Roman" w:hAnsi="Times New Roman" w:cs="Times New Roman"/>
          <w:sz w:val="28"/>
          <w:szCs w:val="28"/>
        </w:rPr>
        <w:t xml:space="preserve">этапа специальной подготовки: </w:t>
      </w:r>
      <w:r w:rsidRPr="000F4830">
        <w:rPr>
          <w:rFonts w:ascii="Times New Roman" w:hAnsi="Times New Roman" w:cs="Times New Roman"/>
          <w:sz w:val="28"/>
          <w:szCs w:val="28"/>
        </w:rPr>
        <w:t>воспита</w:t>
      </w:r>
      <w:r w:rsidR="000F4830">
        <w:rPr>
          <w:rFonts w:ascii="Times New Roman" w:hAnsi="Times New Roman" w:cs="Times New Roman"/>
          <w:sz w:val="28"/>
          <w:szCs w:val="28"/>
        </w:rPr>
        <w:t xml:space="preserve">ние специальной выносливости; </w:t>
      </w:r>
      <w:r w:rsidRPr="000F4830">
        <w:rPr>
          <w:rFonts w:ascii="Times New Roman" w:hAnsi="Times New Roman" w:cs="Times New Roman"/>
          <w:sz w:val="28"/>
          <w:szCs w:val="28"/>
        </w:rPr>
        <w:t>воспитание ск</w:t>
      </w:r>
      <w:r w:rsidR="000F4830">
        <w:rPr>
          <w:rFonts w:ascii="Times New Roman" w:hAnsi="Times New Roman" w:cs="Times New Roman"/>
          <w:sz w:val="28"/>
          <w:szCs w:val="28"/>
        </w:rPr>
        <w:t xml:space="preserve">оростно-силовых способностей; </w:t>
      </w:r>
      <w:r w:rsidRPr="000F4830">
        <w:rPr>
          <w:rFonts w:ascii="Times New Roman" w:hAnsi="Times New Roman" w:cs="Times New Roman"/>
          <w:sz w:val="28"/>
          <w:szCs w:val="28"/>
        </w:rPr>
        <w:t>соверш</w:t>
      </w:r>
      <w:r w:rsidR="000F4830">
        <w:rPr>
          <w:rFonts w:ascii="Times New Roman" w:hAnsi="Times New Roman" w:cs="Times New Roman"/>
          <w:sz w:val="28"/>
          <w:szCs w:val="28"/>
        </w:rPr>
        <w:t xml:space="preserve">енствование приемов техники; </w:t>
      </w:r>
      <w:r w:rsidRPr="000F4830">
        <w:rPr>
          <w:rFonts w:ascii="Times New Roman" w:hAnsi="Times New Roman" w:cs="Times New Roman"/>
          <w:sz w:val="28"/>
          <w:szCs w:val="28"/>
        </w:rPr>
        <w:t xml:space="preserve">совершенствование групповых взаимодействий; На этом этапе применяются специально-подготовительные упражнения и </w:t>
      </w:r>
      <w:r w:rsidRPr="00935265">
        <w:rPr>
          <w:rFonts w:ascii="Times New Roman" w:hAnsi="Times New Roman" w:cs="Times New Roman"/>
          <w:sz w:val="28"/>
          <w:szCs w:val="28"/>
        </w:rPr>
        <w:t>тренировочные формы соревновательного упражнения. Задачи пре</w:t>
      </w:r>
      <w:r w:rsidR="000F4830">
        <w:rPr>
          <w:rFonts w:ascii="Times New Roman" w:hAnsi="Times New Roman" w:cs="Times New Roman"/>
          <w:sz w:val="28"/>
          <w:szCs w:val="28"/>
        </w:rPr>
        <w:t xml:space="preserve">дсоревновательной подготовки: </w:t>
      </w:r>
      <w:r w:rsidRPr="00935265">
        <w:rPr>
          <w:rFonts w:ascii="Times New Roman" w:hAnsi="Times New Roman" w:cs="Times New Roman"/>
          <w:sz w:val="28"/>
          <w:szCs w:val="28"/>
        </w:rPr>
        <w:t>воспитание специальной соревновательной выносливос</w:t>
      </w:r>
      <w:r w:rsidR="000F4830">
        <w:rPr>
          <w:rFonts w:ascii="Times New Roman" w:hAnsi="Times New Roman" w:cs="Times New Roman"/>
          <w:sz w:val="28"/>
          <w:szCs w:val="28"/>
        </w:rPr>
        <w:t xml:space="preserve">ти (физической, психической); </w:t>
      </w:r>
      <w:r w:rsidRPr="00935265">
        <w:rPr>
          <w:rFonts w:ascii="Times New Roman" w:hAnsi="Times New Roman" w:cs="Times New Roman"/>
          <w:sz w:val="28"/>
          <w:szCs w:val="28"/>
        </w:rPr>
        <w:t xml:space="preserve">достижение оптимального уровня соревновательной подготовленности. На этом этапе большое внимание уделяется специально-подготовительным упражнениям, тренировочным формам соревновательного упражнения, и собственно соревновательные упражнения.  </w:t>
      </w:r>
    </w:p>
    <w:p w:rsidR="000F4830" w:rsidRDefault="00C845A8" w:rsidP="0093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  <w:u w:val="single"/>
        </w:rPr>
        <w:t>СОРЕВНОВАТЕЛЬНЫЙ ПЕРИОД.</w:t>
      </w:r>
      <w:r w:rsidRPr="00935265">
        <w:rPr>
          <w:rFonts w:ascii="Times New Roman" w:hAnsi="Times New Roman" w:cs="Times New Roman"/>
          <w:sz w:val="28"/>
          <w:szCs w:val="28"/>
        </w:rPr>
        <w:t xml:space="preserve"> Соревновательный период включает отрезок времени от первого соревнования (первого боя, схватки, выступления) по последнего соревнования (последнего боя, схватки, выступления). На протяжении соревновательного периода  используются все средства тренировки. </w:t>
      </w:r>
      <w:r w:rsidR="000F4830" w:rsidRPr="00935265">
        <w:rPr>
          <w:rFonts w:ascii="Times New Roman" w:hAnsi="Times New Roman" w:cs="Times New Roman"/>
          <w:sz w:val="28"/>
          <w:szCs w:val="28"/>
        </w:rPr>
        <w:t>Обще подготовительные</w:t>
      </w:r>
      <w:r w:rsidRPr="00935265">
        <w:rPr>
          <w:rFonts w:ascii="Times New Roman" w:hAnsi="Times New Roman" w:cs="Times New Roman"/>
          <w:sz w:val="28"/>
          <w:szCs w:val="28"/>
        </w:rPr>
        <w:t xml:space="preserve"> упражнения применяются с целью переключения с одного вида деятельности на другой. Задач</w:t>
      </w:r>
      <w:r w:rsidR="000F4830">
        <w:rPr>
          <w:rFonts w:ascii="Times New Roman" w:hAnsi="Times New Roman" w:cs="Times New Roman"/>
          <w:sz w:val="28"/>
          <w:szCs w:val="28"/>
        </w:rPr>
        <w:t>и соревновательного периода:</w:t>
      </w:r>
    </w:p>
    <w:p w:rsidR="000F4830" w:rsidRDefault="000F4830" w:rsidP="000F483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>д</w:t>
      </w:r>
      <w:r w:rsidR="00C845A8" w:rsidRPr="000F4830">
        <w:rPr>
          <w:rFonts w:ascii="Times New Roman" w:hAnsi="Times New Roman" w:cs="Times New Roman"/>
          <w:sz w:val="28"/>
          <w:szCs w:val="28"/>
        </w:rPr>
        <w:t xml:space="preserve">остижение и поддерживание оптимальной спортивной формы; </w:t>
      </w:r>
    </w:p>
    <w:p w:rsidR="000F4830" w:rsidRDefault="00C845A8" w:rsidP="000F483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 xml:space="preserve">совершенствование эффективности </w:t>
      </w:r>
      <w:r w:rsidR="000F4830" w:rsidRPr="000F4830">
        <w:rPr>
          <w:rFonts w:ascii="Times New Roman" w:hAnsi="Times New Roman" w:cs="Times New Roman"/>
          <w:sz w:val="28"/>
          <w:szCs w:val="28"/>
        </w:rPr>
        <w:t>технико-тактических действий;</w:t>
      </w:r>
    </w:p>
    <w:p w:rsidR="00C845A8" w:rsidRPr="000F4830" w:rsidRDefault="000F4830" w:rsidP="000F483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</w:rPr>
        <w:t xml:space="preserve"> </w:t>
      </w:r>
      <w:r w:rsidR="00C845A8" w:rsidRPr="000F4830">
        <w:rPr>
          <w:rFonts w:ascii="Times New Roman" w:hAnsi="Times New Roman" w:cs="Times New Roman"/>
          <w:sz w:val="28"/>
          <w:szCs w:val="28"/>
        </w:rPr>
        <w:t xml:space="preserve">повышение соревновательной подготовленности.  </w:t>
      </w:r>
    </w:p>
    <w:p w:rsidR="00C845A8" w:rsidRDefault="00C845A8" w:rsidP="0093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30">
        <w:rPr>
          <w:rFonts w:ascii="Times New Roman" w:hAnsi="Times New Roman" w:cs="Times New Roman"/>
          <w:sz w:val="28"/>
          <w:szCs w:val="28"/>
          <w:u w:val="single"/>
        </w:rPr>
        <w:t>ПЕРЕХОДНЫЙ ПЕРИОД.</w:t>
      </w:r>
      <w:r w:rsidRPr="00935265">
        <w:rPr>
          <w:rFonts w:ascii="Times New Roman" w:hAnsi="Times New Roman" w:cs="Times New Roman"/>
          <w:sz w:val="28"/>
          <w:szCs w:val="28"/>
        </w:rPr>
        <w:t xml:space="preserve"> В переходном периоде, который длятся с момента окончания соревнований до начала следующего макроцикла тренировки, значительно снижаются объем и интенсивность нагрузки. Средствами на этом этапе являются упражнения общей направленности, проводимые в </w:t>
      </w:r>
      <w:r w:rsidRPr="00935265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 новых условиях и по своему характеру способствующие скорейшему восстановлению физической и нервной энергии. Задача </w:t>
      </w:r>
      <w:r w:rsidR="000F4830">
        <w:rPr>
          <w:rFonts w:ascii="Times New Roman" w:hAnsi="Times New Roman" w:cs="Times New Roman"/>
          <w:sz w:val="28"/>
          <w:szCs w:val="28"/>
        </w:rPr>
        <w:t xml:space="preserve">переходного периода: </w:t>
      </w:r>
      <w:r w:rsidRPr="00935265">
        <w:rPr>
          <w:rFonts w:ascii="Times New Roman" w:hAnsi="Times New Roman" w:cs="Times New Roman"/>
          <w:sz w:val="28"/>
          <w:szCs w:val="28"/>
        </w:rPr>
        <w:t>сохранение тренированности на таком уровне, который позволит начать новый цикл тренировки с более высокой ступени, чем предыдущий.</w:t>
      </w:r>
    </w:p>
    <w:p w:rsidR="00367410" w:rsidRDefault="00367410" w:rsidP="00692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1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367410" w:rsidRPr="00367410" w:rsidRDefault="00367410" w:rsidP="00367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410">
        <w:rPr>
          <w:rFonts w:ascii="Times New Roman" w:hAnsi="Times New Roman" w:cs="Times New Roman"/>
          <w:sz w:val="28"/>
          <w:szCs w:val="28"/>
          <w:u w:val="single"/>
        </w:rPr>
        <w:t>К концу  учебного года учащиеся: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Приобретают основы теоретических знаний по всем разделам теоретической подготовки.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Осваивают основные средства ОФП.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Осваивают основные приёмы игры в баскетбол (перемещения, ведение мяча, передачи обманные движения, броски в кольцо различными способами).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Умеют ориентироваться в действиях с партнёрами и соперниками.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Применяют в игровой ситуации изученные способы  ведения, передач, бросков мяча.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Осваивают основы коллективной игры (взаимодействие двух и более игроков).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Ориентируются при  розыгрыше соперниками стандартной ситуации.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Осваивают основы судейской и инструкторской практики.</w:t>
      </w:r>
    </w:p>
    <w:p w:rsidR="00367410" w:rsidRPr="00367410" w:rsidRDefault="00367410" w:rsidP="0036741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Участвуют во внутригрупповых и межгрупповых соревнованиях.</w:t>
      </w:r>
    </w:p>
    <w:p w:rsidR="00692B33" w:rsidRPr="00692B33" w:rsidRDefault="00367410" w:rsidP="00692B3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10">
        <w:rPr>
          <w:rFonts w:ascii="Times New Roman" w:hAnsi="Times New Roman" w:cs="Times New Roman"/>
          <w:sz w:val="28"/>
          <w:szCs w:val="28"/>
        </w:rPr>
        <w:t>Повышается уровень функциональной подготовки.</w:t>
      </w:r>
    </w:p>
    <w:p w:rsidR="00692B33" w:rsidRDefault="00692B33" w:rsidP="00692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Формой подведения итогов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B33" w:rsidRDefault="00692B33" w:rsidP="00692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год обучения</w:t>
      </w:r>
    </w:p>
    <w:p w:rsidR="00692B33" w:rsidRDefault="00692B33" w:rsidP="00692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тестирование на умение выполнять пройденные технические приёмы</w:t>
      </w:r>
    </w:p>
    <w:p w:rsidR="00692B33" w:rsidRPr="00367410" w:rsidRDefault="00692B33" w:rsidP="00692B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E" w:rsidRDefault="00B76F7E" w:rsidP="00692B33"/>
    <w:p w:rsidR="00B76F7E" w:rsidRPr="000F4830" w:rsidRDefault="000F4830" w:rsidP="005457C4">
      <w:pPr>
        <w:pStyle w:val="a5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4. </w:t>
      </w:r>
      <w:r w:rsidR="00B76F7E" w:rsidRPr="000F4830">
        <w:rPr>
          <w:rFonts w:ascii="Times New Roman" w:hAnsi="Times New Roman" w:cs="Times New Roman"/>
          <w:b/>
          <w:sz w:val="28"/>
          <w:u w:val="single"/>
        </w:rPr>
        <w:t>Календарно-тематическое планирование секции на 2016-2017 учебный год.</w:t>
      </w:r>
    </w:p>
    <w:tbl>
      <w:tblPr>
        <w:tblW w:w="10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237"/>
        <w:gridCol w:w="1785"/>
        <w:gridCol w:w="1682"/>
      </w:tblGrid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5457C4" w:rsidP="00C8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занятиях. Игры с элементами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5457C4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прыжков. Эстафеты и игры с мячом.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5457C4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до 10 минут. Игры с мячом.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5457C4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мячами. Игры с мячом.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5457C4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игрока, перемещения. Остановки двумя шагами и прыжком.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F714B9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без мяча и с ним. Комбинация из освоенных элементов техники передвижения.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236" w:type="dxa"/>
            <w:shd w:val="clear" w:color="auto" w:fill="auto"/>
          </w:tcPr>
          <w:p w:rsidR="00C845A8" w:rsidRPr="00BD2AEB" w:rsidRDefault="00F714B9" w:rsidP="00BD2A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AEB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236" w:type="dxa"/>
            <w:shd w:val="clear" w:color="auto" w:fill="auto"/>
          </w:tcPr>
          <w:p w:rsidR="00C845A8" w:rsidRPr="00BD2AEB" w:rsidRDefault="00922A18" w:rsidP="00BD2A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мяча. </w:t>
            </w:r>
            <w:r w:rsidR="00BD2AEB" w:rsidRPr="00BD2AEB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922A1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ведения мяча.</w:t>
            </w:r>
            <w:r w:rsidRPr="00BD2AEB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236" w:type="dxa"/>
            <w:shd w:val="clear" w:color="auto" w:fill="auto"/>
          </w:tcPr>
          <w:p w:rsidR="00C845A8" w:rsidRPr="001B5F18" w:rsidRDefault="001B5F18" w:rsidP="001B5F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18">
              <w:rPr>
                <w:rFonts w:ascii="Times New Roman" w:hAnsi="Times New Roman" w:cs="Times New Roman"/>
                <w:sz w:val="28"/>
                <w:szCs w:val="28"/>
              </w:rPr>
              <w:t>Ведение мяча ведущей и неведущей рукой с пассивным сопротивлением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1B5F1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1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ведущей и </w:t>
            </w:r>
            <w:proofErr w:type="spellStart"/>
            <w:r w:rsidRPr="001B5F18">
              <w:rPr>
                <w:rFonts w:ascii="Times New Roman" w:hAnsi="Times New Roman" w:cs="Times New Roman"/>
                <w:sz w:val="28"/>
                <w:szCs w:val="28"/>
              </w:rPr>
              <w:t>неведущей</w:t>
            </w:r>
            <w:proofErr w:type="spellEnd"/>
            <w:r w:rsidRPr="001B5F18">
              <w:rPr>
                <w:rFonts w:ascii="Times New Roman" w:hAnsi="Times New Roman" w:cs="Times New Roman"/>
                <w:sz w:val="28"/>
                <w:szCs w:val="28"/>
              </w:rPr>
              <w:t xml:space="preserve"> рукой с пассивным сопротивлением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236" w:type="dxa"/>
            <w:shd w:val="clear" w:color="auto" w:fill="auto"/>
          </w:tcPr>
          <w:p w:rsidR="00C845A8" w:rsidRPr="001B5F18" w:rsidRDefault="00C845A8" w:rsidP="001B5F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F18" w:rsidRPr="001B5F18">
              <w:rPr>
                <w:rFonts w:ascii="Times New Roman" w:hAnsi="Times New Roman" w:cs="Times New Roman"/>
                <w:sz w:val="28"/>
              </w:rPr>
              <w:t>Броски одной и двумя руками с места и в движении с пассивным противодействием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1B5F18" w:rsidP="00C8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18">
              <w:rPr>
                <w:rFonts w:ascii="Times New Roman" w:hAnsi="Times New Roman" w:cs="Times New Roman"/>
                <w:sz w:val="28"/>
              </w:rPr>
              <w:t>Броски одной и двумя руками с места и в движении с пассивным противодействием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EE0C29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 мяча. Игра мяч «капитану»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EE0C29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ловля, передача, ведение, бросок.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EE0C29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мячом.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EE0C29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двумя руками снизу. Учебная игра баскетбол.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EE0C29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техники перемещений и владения мячом.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EE0C29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Нападение быстрым прорывом.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EE0C29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Нападение быстрым прорывом.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9431B3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9431B3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9431B3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игроков в нападении и защите через «заслон»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C845A8" w:rsidP="00C8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1B3"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игроков в нападении и защите через «заслон»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3B5D6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3B5D6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3B5D6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задания. 2:1, 3:1,3:2,3:3.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3B5D6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скоростно-силовых способностей.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3B5D6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правила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DC6D02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игроков в нападении и защите через «заслон»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3B5D6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правила</w:t>
            </w:r>
            <w:r w:rsidR="00DC6D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DC6D02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правилам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DC6D02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Размеренный медленный бег до 10 минут. Упражнения с набивными мячами.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DC6D02" w:rsidP="00C8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эстафеты.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DC6D02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эстафеты.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DC6D02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правилам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DC6D02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RPr="003926A9" w:rsidTr="00EA4C4A">
        <w:tc>
          <w:tcPr>
            <w:tcW w:w="993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6236" w:type="dxa"/>
            <w:shd w:val="clear" w:color="auto" w:fill="auto"/>
          </w:tcPr>
          <w:p w:rsidR="00C845A8" w:rsidRPr="003926A9" w:rsidRDefault="00DC6D02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баскетбола.</w:t>
            </w:r>
          </w:p>
        </w:tc>
        <w:tc>
          <w:tcPr>
            <w:tcW w:w="1785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C845A8" w:rsidRPr="003926A9" w:rsidRDefault="00C845A8" w:rsidP="00EA4C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A8" w:rsidTr="00EA4C4A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90" w:type="dxa"/>
          </w:tcPr>
          <w:p w:rsidR="00C845A8" w:rsidRPr="001F60CB" w:rsidRDefault="00C845A8" w:rsidP="00EA4C4A">
            <w:pPr>
              <w:ind w:left="709" w:hanging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  <w:p w:rsidR="00C845A8" w:rsidRDefault="00C845A8" w:rsidP="00EA4C4A">
            <w:pPr>
              <w:spacing w:line="240" w:lineRule="auto"/>
              <w:ind w:left="709"/>
            </w:pPr>
          </w:p>
        </w:tc>
        <w:tc>
          <w:tcPr>
            <w:tcW w:w="6239" w:type="dxa"/>
          </w:tcPr>
          <w:p w:rsidR="00C845A8" w:rsidRDefault="00DC6D02" w:rsidP="00EA4C4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правилам баскетбола.</w:t>
            </w:r>
          </w:p>
        </w:tc>
        <w:tc>
          <w:tcPr>
            <w:tcW w:w="1785" w:type="dxa"/>
          </w:tcPr>
          <w:p w:rsidR="00C845A8" w:rsidRPr="001F60CB" w:rsidRDefault="00C845A8" w:rsidP="00EA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5A8" w:rsidRDefault="00C845A8" w:rsidP="00EA4C4A">
            <w:pPr>
              <w:spacing w:line="240" w:lineRule="auto"/>
            </w:pPr>
          </w:p>
        </w:tc>
        <w:tc>
          <w:tcPr>
            <w:tcW w:w="1682" w:type="dxa"/>
          </w:tcPr>
          <w:p w:rsidR="00C845A8" w:rsidRDefault="00C845A8" w:rsidP="00EA4C4A"/>
          <w:p w:rsidR="00C845A8" w:rsidRDefault="00C845A8" w:rsidP="00EA4C4A">
            <w:pPr>
              <w:spacing w:line="240" w:lineRule="auto"/>
            </w:pPr>
          </w:p>
        </w:tc>
      </w:tr>
    </w:tbl>
    <w:p w:rsidR="00B76F7E" w:rsidRPr="00B76F7E" w:rsidRDefault="00B76F7E" w:rsidP="00B76F7E">
      <w:pPr>
        <w:pStyle w:val="a5"/>
      </w:pPr>
    </w:p>
    <w:p w:rsidR="00C845A8" w:rsidRPr="003926A9" w:rsidRDefault="00C845A8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26A9">
        <w:rPr>
          <w:rFonts w:ascii="Times New Roman" w:hAnsi="Times New Roman" w:cs="Times New Roman"/>
          <w:color w:val="000000"/>
          <w:sz w:val="28"/>
          <w:szCs w:val="28"/>
        </w:rPr>
        <w:t>Поуро</w:t>
      </w:r>
      <w:r>
        <w:rPr>
          <w:rFonts w:ascii="Times New Roman" w:hAnsi="Times New Roman" w:cs="Times New Roman"/>
          <w:color w:val="000000"/>
          <w:sz w:val="28"/>
          <w:szCs w:val="28"/>
        </w:rPr>
        <w:t>чный  учебный план состоит из 78</w:t>
      </w:r>
      <w:r w:rsidRPr="00392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Pr="00392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продолжительностью 1 час  каждое</w:t>
      </w:r>
      <w:r w:rsidRPr="00392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5A8" w:rsidRPr="003926A9" w:rsidRDefault="00C845A8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5A8" w:rsidRPr="003926A9" w:rsidRDefault="00C845A8" w:rsidP="00C845A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926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Примечание:    </w:t>
      </w:r>
    </w:p>
    <w:p w:rsidR="00C845A8" w:rsidRPr="003926A9" w:rsidRDefault="00C845A8" w:rsidP="00C845A8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926A9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 от индивидуальных возможностей учебной группы ил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 невозможности провести 78</w:t>
      </w:r>
      <w:r w:rsidRPr="003926A9">
        <w:rPr>
          <w:rFonts w:ascii="Times New Roman" w:hAnsi="Times New Roman" w:cs="Times New Roman"/>
          <w:color w:val="000000"/>
          <w:sz w:val="28"/>
          <w:szCs w:val="28"/>
        </w:rPr>
        <w:t xml:space="preserve">  занятий по объективным причинам (болезни, каникулы или др. уважительные причины) преподаватель  может по своему усмотрению  изменять порядок различных тем  внутри учебного плана, или добавлять  занятия в другие дни взамен пропущенных.</w:t>
      </w:r>
    </w:p>
    <w:p w:rsidR="00C845A8" w:rsidRDefault="00C845A8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26A9">
        <w:rPr>
          <w:rFonts w:ascii="Times New Roman" w:hAnsi="Times New Roman" w:cs="Times New Roman"/>
          <w:color w:val="000000"/>
          <w:sz w:val="28"/>
          <w:szCs w:val="28"/>
        </w:rPr>
        <w:t xml:space="preserve">     Можно также исключать некоторые занятия  или </w:t>
      </w:r>
      <w:proofErr w:type="gramStart"/>
      <w:r w:rsidRPr="003926A9">
        <w:rPr>
          <w:rFonts w:ascii="Times New Roman" w:hAnsi="Times New Roman" w:cs="Times New Roman"/>
          <w:color w:val="000000"/>
          <w:sz w:val="28"/>
          <w:szCs w:val="28"/>
        </w:rPr>
        <w:t>заменить на другие</w:t>
      </w:r>
      <w:proofErr w:type="gramEnd"/>
      <w:r w:rsidRPr="003926A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хуже усваиваются.      </w:t>
      </w:r>
    </w:p>
    <w:p w:rsidR="00C845A8" w:rsidRDefault="00C845A8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830" w:rsidRDefault="000F4830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830" w:rsidRDefault="000F4830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10" w:rsidRDefault="00367410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10" w:rsidRDefault="00367410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10" w:rsidRDefault="00367410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10" w:rsidRDefault="00367410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10" w:rsidRDefault="00367410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830" w:rsidRDefault="000F4830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5A8" w:rsidRPr="00C845A8" w:rsidRDefault="00C845A8" w:rsidP="00C845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5A8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</w:t>
      </w:r>
    </w:p>
    <w:p w:rsidR="00C845A8" w:rsidRPr="005457C4" w:rsidRDefault="00C845A8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>Комплексная программа Физического воспитания учащихся 1-11 классов В. И Лях</w:t>
      </w:r>
    </w:p>
    <w:p w:rsidR="005457C4" w:rsidRPr="005457C4" w:rsidRDefault="005457C4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>Баскетбол. Поурочная учебная программа для ДЮСШ и СДЮШОР/ под редакцией Ю.Д</w:t>
      </w:r>
      <w:proofErr w:type="gramStart"/>
      <w:r w:rsidRPr="005457C4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5457C4">
        <w:rPr>
          <w:rFonts w:ascii="Times New Roman" w:hAnsi="Times New Roman" w:cs="Times New Roman"/>
          <w:sz w:val="28"/>
          <w:szCs w:val="28"/>
        </w:rPr>
        <w:t>елезняка.-М.,1984 г.</w:t>
      </w:r>
    </w:p>
    <w:p w:rsidR="00C845A8" w:rsidRPr="005457C4" w:rsidRDefault="00C845A8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>Белоусова В.В. «Воспитание в спорте». М. 1984г.</w:t>
      </w:r>
    </w:p>
    <w:p w:rsidR="00C845A8" w:rsidRPr="005457C4" w:rsidRDefault="00C845A8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C4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5457C4">
        <w:rPr>
          <w:rFonts w:ascii="Times New Roman" w:hAnsi="Times New Roman" w:cs="Times New Roman"/>
          <w:sz w:val="28"/>
          <w:szCs w:val="28"/>
        </w:rPr>
        <w:t xml:space="preserve"> Л.Л. «Подвижные игры». М. 1984г.</w:t>
      </w:r>
    </w:p>
    <w:p w:rsidR="005457C4" w:rsidRPr="005457C4" w:rsidRDefault="00C845A8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>Гомельский А.Я «Библия баскетбола» М.2015 г</w:t>
      </w:r>
    </w:p>
    <w:p w:rsidR="005457C4" w:rsidRPr="005457C4" w:rsidRDefault="00C845A8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>Добровольский В.К. «Физическая культура и здоровье». М. 1982г.</w:t>
      </w:r>
    </w:p>
    <w:p w:rsidR="005457C4" w:rsidRPr="005457C4" w:rsidRDefault="005457C4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> Спортивные игры. Учебник для ВУЗов. Том 1</w:t>
      </w:r>
      <w:proofErr w:type="gramStart"/>
      <w:r w:rsidRPr="005457C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457C4">
        <w:rPr>
          <w:rFonts w:ascii="Times New Roman" w:hAnsi="Times New Roman" w:cs="Times New Roman"/>
          <w:sz w:val="28"/>
          <w:szCs w:val="28"/>
        </w:rPr>
        <w:t>од редакцией Ю.Д. Железняка, Ю.М. Портнова. – М., Изд. Центр Академия, 2002.</w:t>
      </w:r>
    </w:p>
    <w:p w:rsidR="005457C4" w:rsidRDefault="005457C4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 xml:space="preserve"> Спортивные игры. Учебник для ВУЗов. Том 2</w:t>
      </w:r>
      <w:proofErr w:type="gramStart"/>
      <w:r w:rsidRPr="005457C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457C4">
        <w:rPr>
          <w:rFonts w:ascii="Times New Roman" w:hAnsi="Times New Roman" w:cs="Times New Roman"/>
          <w:sz w:val="28"/>
          <w:szCs w:val="28"/>
        </w:rPr>
        <w:t>од редакцией Ю.Д. Железняка, Ю.М. Портнова. – М., Изд. Центр Академия, 2004.</w:t>
      </w:r>
    </w:p>
    <w:p w:rsidR="00C845A8" w:rsidRPr="005457C4" w:rsidRDefault="005457C4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 xml:space="preserve">Спортивная школа: начальный этап, Столов И.И., </w:t>
      </w:r>
      <w:proofErr w:type="spellStart"/>
      <w:r w:rsidRPr="005457C4">
        <w:rPr>
          <w:rFonts w:ascii="Times New Roman" w:hAnsi="Times New Roman" w:cs="Times New Roman"/>
          <w:sz w:val="28"/>
          <w:szCs w:val="28"/>
        </w:rPr>
        <w:t>Ивочкин</w:t>
      </w:r>
      <w:proofErr w:type="spellEnd"/>
      <w:r w:rsidRPr="005457C4">
        <w:rPr>
          <w:rFonts w:ascii="Times New Roman" w:hAnsi="Times New Roman" w:cs="Times New Roman"/>
          <w:sz w:val="28"/>
          <w:szCs w:val="28"/>
        </w:rPr>
        <w:t xml:space="preserve"> В.В., М., 2007.</w:t>
      </w:r>
    </w:p>
    <w:p w:rsidR="00C845A8" w:rsidRPr="005457C4" w:rsidRDefault="00C845A8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>Уваров В. «</w:t>
      </w:r>
      <w:proofErr w:type="gramStart"/>
      <w:r w:rsidRPr="005457C4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5457C4">
        <w:rPr>
          <w:rFonts w:ascii="Times New Roman" w:hAnsi="Times New Roman" w:cs="Times New Roman"/>
          <w:sz w:val="28"/>
          <w:szCs w:val="28"/>
        </w:rPr>
        <w:t xml:space="preserve"> и ловкие». М. 1982г.</w:t>
      </w:r>
    </w:p>
    <w:p w:rsidR="00C845A8" w:rsidRPr="005457C4" w:rsidRDefault="00C845A8" w:rsidP="005457C4">
      <w:pPr>
        <w:pStyle w:val="a5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57C4">
        <w:rPr>
          <w:rFonts w:ascii="Times New Roman" w:hAnsi="Times New Roman" w:cs="Times New Roman"/>
          <w:sz w:val="28"/>
          <w:szCs w:val="28"/>
        </w:rPr>
        <w:t>Филин В.П. «Воспитание физических качеств у юных спортсменов». М. 1984г.</w:t>
      </w:r>
    </w:p>
    <w:p w:rsidR="00C845A8" w:rsidRDefault="00C845A8" w:rsidP="00C845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3BAE" w:rsidRDefault="00323BAE"/>
    <w:sectPr w:rsidR="0032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5DE"/>
    <w:multiLevelType w:val="hybridMultilevel"/>
    <w:tmpl w:val="3174A628"/>
    <w:lvl w:ilvl="0" w:tplc="90546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69B"/>
    <w:multiLevelType w:val="hybridMultilevel"/>
    <w:tmpl w:val="503698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B831FF"/>
    <w:multiLevelType w:val="hybridMultilevel"/>
    <w:tmpl w:val="5D0A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60025"/>
    <w:multiLevelType w:val="hybridMultilevel"/>
    <w:tmpl w:val="F09420AC"/>
    <w:lvl w:ilvl="0" w:tplc="90546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7B10"/>
    <w:multiLevelType w:val="hybridMultilevel"/>
    <w:tmpl w:val="BC96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80CB2"/>
    <w:multiLevelType w:val="hybridMultilevel"/>
    <w:tmpl w:val="71E4A1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2F93ACF"/>
    <w:multiLevelType w:val="hybridMultilevel"/>
    <w:tmpl w:val="CD7A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F0344"/>
    <w:multiLevelType w:val="hybridMultilevel"/>
    <w:tmpl w:val="1182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B1"/>
    <w:rsid w:val="000216D8"/>
    <w:rsid w:val="000552B1"/>
    <w:rsid w:val="000F4830"/>
    <w:rsid w:val="001B5F18"/>
    <w:rsid w:val="00304514"/>
    <w:rsid w:val="00323BAE"/>
    <w:rsid w:val="00367410"/>
    <w:rsid w:val="003B5D68"/>
    <w:rsid w:val="00475542"/>
    <w:rsid w:val="005457C4"/>
    <w:rsid w:val="00692B33"/>
    <w:rsid w:val="007B53A8"/>
    <w:rsid w:val="00922A18"/>
    <w:rsid w:val="00935265"/>
    <w:rsid w:val="009431B3"/>
    <w:rsid w:val="00AC28ED"/>
    <w:rsid w:val="00B76F7E"/>
    <w:rsid w:val="00B85C96"/>
    <w:rsid w:val="00BD2AEB"/>
    <w:rsid w:val="00C56ED9"/>
    <w:rsid w:val="00C845A8"/>
    <w:rsid w:val="00DC6D02"/>
    <w:rsid w:val="00EE0C29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304514"/>
    <w:rPr>
      <w:b/>
      <w:bCs/>
    </w:rPr>
  </w:style>
  <w:style w:type="paragraph" w:styleId="a5">
    <w:name w:val="List Paragraph"/>
    <w:basedOn w:val="a"/>
    <w:uiPriority w:val="34"/>
    <w:qFormat/>
    <w:rsid w:val="00B76F7E"/>
    <w:pPr>
      <w:ind w:left="720"/>
      <w:contextualSpacing/>
    </w:pPr>
  </w:style>
  <w:style w:type="character" w:customStyle="1" w:styleId="apple-converted-space">
    <w:name w:val="apple-converted-space"/>
    <w:basedOn w:val="a0"/>
    <w:rsid w:val="005457C4"/>
  </w:style>
  <w:style w:type="paragraph" w:styleId="2">
    <w:name w:val="Quote"/>
    <w:basedOn w:val="a"/>
    <w:next w:val="a"/>
    <w:link w:val="20"/>
    <w:uiPriority w:val="29"/>
    <w:qFormat/>
    <w:rsid w:val="00935265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935265"/>
    <w:rPr>
      <w:rFonts w:eastAsiaTheme="minorEastAsia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304514"/>
    <w:rPr>
      <w:b/>
      <w:bCs/>
    </w:rPr>
  </w:style>
  <w:style w:type="paragraph" w:styleId="a5">
    <w:name w:val="List Paragraph"/>
    <w:basedOn w:val="a"/>
    <w:uiPriority w:val="34"/>
    <w:qFormat/>
    <w:rsid w:val="00B76F7E"/>
    <w:pPr>
      <w:ind w:left="720"/>
      <w:contextualSpacing/>
    </w:pPr>
  </w:style>
  <w:style w:type="character" w:customStyle="1" w:styleId="apple-converted-space">
    <w:name w:val="apple-converted-space"/>
    <w:basedOn w:val="a0"/>
    <w:rsid w:val="005457C4"/>
  </w:style>
  <w:style w:type="paragraph" w:styleId="2">
    <w:name w:val="Quote"/>
    <w:basedOn w:val="a"/>
    <w:next w:val="a"/>
    <w:link w:val="20"/>
    <w:uiPriority w:val="29"/>
    <w:qFormat/>
    <w:rsid w:val="00935265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935265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Лена</cp:lastModifiedBy>
  <cp:revision>4</cp:revision>
  <dcterms:created xsi:type="dcterms:W3CDTF">2017-02-13T09:03:00Z</dcterms:created>
  <dcterms:modified xsi:type="dcterms:W3CDTF">2017-02-17T00:36:00Z</dcterms:modified>
</cp:coreProperties>
</file>